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97A5A" w14:textId="4AEBA8F5" w:rsidR="00926F8C" w:rsidRPr="00D04910" w:rsidRDefault="00E17102" w:rsidP="00E17102">
      <w:pPr>
        <w:jc w:val="right"/>
        <w:rPr>
          <w:rFonts w:ascii="Arial" w:hAnsi="Arial" w:cs="Arial"/>
          <w:b/>
          <w:bCs/>
        </w:rPr>
      </w:pPr>
      <w:r>
        <w:rPr>
          <w:rFonts w:ascii="Arial" w:hAnsi="Arial" w:cs="Arial"/>
          <w:b/>
          <w:bCs/>
          <w:noProof/>
          <w:color w:val="000000" w:themeColor="text1"/>
          <w:szCs w:val="22"/>
        </w:rPr>
        <w:drawing>
          <wp:inline distT="0" distB="0" distL="0" distR="0" wp14:anchorId="0C70A4BA" wp14:editId="7089328D">
            <wp:extent cx="1171575" cy="1122759"/>
            <wp:effectExtent l="0" t="0" r="0" b="1270"/>
            <wp:docPr id="817121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5347" cy="1135957"/>
                    </a:xfrm>
                    <a:prstGeom prst="rect">
                      <a:avLst/>
                    </a:prstGeom>
                    <a:noFill/>
                    <a:ln>
                      <a:noFill/>
                    </a:ln>
                  </pic:spPr>
                </pic:pic>
              </a:graphicData>
            </a:graphic>
          </wp:inline>
        </w:drawing>
      </w:r>
    </w:p>
    <w:p w14:paraId="4107A7B6" w14:textId="18B6C0DD" w:rsidR="00926F8C" w:rsidRPr="00D04910" w:rsidRDefault="003F2FAC" w:rsidP="00C45B3C">
      <w:pPr>
        <w:spacing w:line="360" w:lineRule="auto"/>
        <w:rPr>
          <w:rFonts w:ascii="Arial" w:hAnsi="Arial" w:cs="Arial"/>
          <w:b/>
          <w:bCs/>
        </w:rPr>
      </w:pPr>
      <w:r w:rsidRPr="00D04910">
        <w:rPr>
          <w:rFonts w:ascii="Arial" w:hAnsi="Arial" w:cs="Arial"/>
          <w:b/>
          <w:bCs/>
        </w:rPr>
        <w:t xml:space="preserve">Full </w:t>
      </w:r>
      <w:r w:rsidR="00926F8C" w:rsidRPr="00D04910">
        <w:rPr>
          <w:rFonts w:ascii="Arial" w:hAnsi="Arial" w:cs="Arial"/>
          <w:b/>
          <w:bCs/>
        </w:rPr>
        <w:t>Name</w:t>
      </w:r>
      <w:r w:rsidRPr="00D04910">
        <w:rPr>
          <w:rFonts w:ascii="Arial" w:hAnsi="Arial" w:cs="Arial"/>
          <w:b/>
          <w:bCs/>
        </w:rPr>
        <w:tab/>
      </w:r>
      <w:r w:rsidRPr="00D04910">
        <w:rPr>
          <w:rFonts w:ascii="Arial" w:hAnsi="Arial" w:cs="Arial"/>
          <w:b/>
          <w:bCs/>
        </w:rPr>
        <w:tab/>
      </w:r>
      <w:r w:rsidR="00CD125A" w:rsidRPr="00D04910">
        <w:rPr>
          <w:rFonts w:ascii="Arial" w:hAnsi="Arial" w:cs="Arial"/>
          <w:b/>
          <w:bCs/>
        </w:rPr>
        <w:t xml:space="preserve">  </w:t>
      </w:r>
      <w:r w:rsidR="00CD125A" w:rsidRPr="00D04910">
        <w:rPr>
          <w:rFonts w:ascii="Arial" w:hAnsi="Arial" w:cs="Arial"/>
          <w:b/>
          <w:bCs/>
          <w:szCs w:val="22"/>
        </w:rPr>
        <w:t>:</w:t>
      </w:r>
      <w:r w:rsidR="00D04910">
        <w:rPr>
          <w:rFonts w:ascii="Arial" w:hAnsi="Arial" w:cs="Arial"/>
          <w:b/>
          <w:bCs/>
          <w:szCs w:val="22"/>
        </w:rPr>
        <w:t xml:space="preserve"> </w:t>
      </w:r>
      <w:r w:rsidR="00D04910" w:rsidRPr="00D04910">
        <w:rPr>
          <w:rFonts w:ascii="Arial" w:hAnsi="Arial" w:cs="Arial"/>
          <w:b/>
          <w:bCs/>
          <w:szCs w:val="22"/>
        </w:rPr>
        <w:t>Fukuya IINO</w:t>
      </w:r>
    </w:p>
    <w:p w14:paraId="772725B0" w14:textId="357412FA" w:rsidR="00D04910" w:rsidRPr="00D04910" w:rsidRDefault="00926F8C" w:rsidP="00D04910">
      <w:pPr>
        <w:autoSpaceDE w:val="0"/>
        <w:autoSpaceDN w:val="0"/>
        <w:adjustRightInd w:val="0"/>
        <w:spacing w:line="360" w:lineRule="auto"/>
        <w:rPr>
          <w:rFonts w:ascii="Arial" w:hAnsi="Arial" w:cs="Arial"/>
          <w:b/>
          <w:bCs/>
          <w:szCs w:val="22"/>
        </w:rPr>
      </w:pPr>
      <w:r w:rsidRPr="00D04910">
        <w:rPr>
          <w:rFonts w:ascii="Arial" w:hAnsi="Arial" w:cs="Arial"/>
          <w:b/>
          <w:bCs/>
        </w:rPr>
        <w:t xml:space="preserve">Organization </w:t>
      </w:r>
      <w:r w:rsidRPr="00D04910">
        <w:rPr>
          <w:rFonts w:ascii="Arial" w:hAnsi="Arial" w:cs="Arial"/>
          <w:b/>
          <w:bCs/>
        </w:rPr>
        <w:tab/>
      </w:r>
      <w:r w:rsidRPr="00D04910">
        <w:rPr>
          <w:rFonts w:ascii="Arial" w:hAnsi="Arial" w:cs="Arial"/>
          <w:b/>
          <w:bCs/>
        </w:rPr>
        <w:tab/>
      </w:r>
      <w:r w:rsidRPr="00D04910">
        <w:rPr>
          <w:rFonts w:ascii="Arial" w:hAnsi="Arial" w:cs="Arial"/>
          <w:b/>
          <w:bCs/>
          <w:szCs w:val="22"/>
          <w:cs/>
        </w:rPr>
        <w:t xml:space="preserve">  </w:t>
      </w:r>
      <w:r w:rsidR="00CD125A" w:rsidRPr="00D04910">
        <w:rPr>
          <w:rFonts w:ascii="Arial" w:hAnsi="Arial" w:cs="Arial"/>
          <w:b/>
          <w:bCs/>
          <w:szCs w:val="22"/>
        </w:rPr>
        <w:t xml:space="preserve"> :</w:t>
      </w:r>
      <w:r w:rsidRPr="00D04910">
        <w:rPr>
          <w:rFonts w:ascii="Arial" w:hAnsi="Arial" w:cs="Arial"/>
          <w:b/>
          <w:bCs/>
          <w:szCs w:val="22"/>
          <w:cs/>
        </w:rPr>
        <w:t xml:space="preserve"> </w:t>
      </w:r>
      <w:r w:rsidR="00D04910" w:rsidRPr="00D04910">
        <w:rPr>
          <w:rFonts w:ascii="Arial" w:hAnsi="Arial" w:cs="Arial"/>
          <w:b/>
          <w:bCs/>
          <w:szCs w:val="22"/>
        </w:rPr>
        <w:t>United Nations Industrial Development Organization</w:t>
      </w:r>
    </w:p>
    <w:p w14:paraId="5DB9C2DD" w14:textId="1F286E29" w:rsidR="00926F8C" w:rsidRPr="00D04910" w:rsidRDefault="00D04910" w:rsidP="00952096">
      <w:pPr>
        <w:autoSpaceDE w:val="0"/>
        <w:autoSpaceDN w:val="0"/>
        <w:adjustRightInd w:val="0"/>
        <w:spacing w:line="360" w:lineRule="auto"/>
        <w:ind w:left="2520" w:hanging="360"/>
        <w:rPr>
          <w:rFonts w:ascii="Arial" w:hAnsi="Arial" w:cs="Arial"/>
          <w:b/>
          <w:bCs/>
        </w:rPr>
      </w:pPr>
      <w:r w:rsidRPr="00D04910">
        <w:rPr>
          <w:rFonts w:ascii="Arial" w:hAnsi="Arial" w:cs="Arial"/>
          <w:b/>
          <w:bCs/>
          <w:szCs w:val="22"/>
          <w:cs/>
        </w:rPr>
        <w:t xml:space="preserve">     </w:t>
      </w:r>
      <w:r>
        <w:rPr>
          <w:rFonts w:ascii="Arial" w:hAnsi="Arial" w:cs="Browallia New"/>
          <w:b/>
          <w:bCs/>
        </w:rPr>
        <w:t>(</w:t>
      </w:r>
      <w:r w:rsidRPr="00D04910">
        <w:rPr>
          <w:rFonts w:ascii="Arial" w:hAnsi="Arial" w:cs="Arial"/>
          <w:b/>
          <w:bCs/>
          <w:szCs w:val="22"/>
        </w:rPr>
        <w:t>UNIDO)</w:t>
      </w:r>
      <w:r w:rsidR="007F38D4">
        <w:rPr>
          <w:rFonts w:ascii="Arial" w:hAnsi="Arial" w:cs="Arial"/>
          <w:b/>
          <w:bCs/>
          <w:szCs w:val="22"/>
        </w:rPr>
        <w:t xml:space="preserve"> </w:t>
      </w:r>
      <w:r w:rsidR="00281472">
        <w:rPr>
          <w:rFonts w:ascii="Arial" w:eastAsia="MS Mincho" w:hAnsi="Arial" w:cs="Arial" w:hint="eastAsia"/>
          <w:b/>
          <w:bCs/>
          <w:szCs w:val="22"/>
          <w:lang w:eastAsia="ja-JP"/>
        </w:rPr>
        <w:t xml:space="preserve">for Thailand, Malaysia, Cambodia, </w:t>
      </w:r>
      <w:r w:rsidR="00952096">
        <w:rPr>
          <w:rFonts w:ascii="Arial" w:eastAsia="MS Mincho" w:hAnsi="Arial" w:cs="Arial" w:hint="eastAsia"/>
          <w:b/>
          <w:bCs/>
          <w:szCs w:val="22"/>
          <w:lang w:eastAsia="ja-JP"/>
        </w:rPr>
        <w:t xml:space="preserve">Vietnam, Laos and Myanmar based in </w:t>
      </w:r>
      <w:r w:rsidR="007F38D4" w:rsidRPr="007F38D4">
        <w:rPr>
          <w:rFonts w:ascii="Arial" w:hAnsi="Arial" w:cs="Arial"/>
          <w:b/>
          <w:bCs/>
          <w:szCs w:val="22"/>
        </w:rPr>
        <w:t>Bangkok, Thailand</w:t>
      </w:r>
    </w:p>
    <w:p w14:paraId="3A7578A5" w14:textId="67E32743" w:rsidR="00926F8C" w:rsidRPr="00D04910" w:rsidRDefault="00926F8C" w:rsidP="00926F8C">
      <w:pPr>
        <w:autoSpaceDE w:val="0"/>
        <w:autoSpaceDN w:val="0"/>
        <w:adjustRightInd w:val="0"/>
        <w:spacing w:line="360" w:lineRule="auto"/>
        <w:rPr>
          <w:rFonts w:ascii="Arial" w:hAnsi="Arial" w:cs="Arial"/>
          <w:b/>
          <w:bCs/>
        </w:rPr>
      </w:pPr>
      <w:r w:rsidRPr="00D04910">
        <w:rPr>
          <w:rFonts w:ascii="Arial" w:hAnsi="Arial" w:cs="Arial"/>
          <w:b/>
          <w:bCs/>
        </w:rPr>
        <w:t>Current Position</w:t>
      </w:r>
      <w:r w:rsidRPr="00D04910">
        <w:rPr>
          <w:rFonts w:ascii="Arial" w:hAnsi="Arial" w:cs="Arial"/>
          <w:b/>
          <w:bCs/>
        </w:rPr>
        <w:tab/>
      </w:r>
      <w:r w:rsidRPr="00D04910">
        <w:rPr>
          <w:rFonts w:ascii="Arial" w:hAnsi="Arial" w:cs="Arial"/>
          <w:b/>
          <w:bCs/>
          <w:szCs w:val="22"/>
          <w:cs/>
        </w:rPr>
        <w:t xml:space="preserve">  </w:t>
      </w:r>
      <w:r w:rsidR="00CD125A" w:rsidRPr="00D04910">
        <w:rPr>
          <w:rFonts w:ascii="Arial" w:hAnsi="Arial" w:cs="Arial"/>
          <w:b/>
          <w:bCs/>
          <w:szCs w:val="22"/>
        </w:rPr>
        <w:t xml:space="preserve"> :</w:t>
      </w:r>
      <w:r w:rsidRPr="00D04910">
        <w:rPr>
          <w:rFonts w:ascii="Arial" w:hAnsi="Arial" w:cs="Arial"/>
          <w:b/>
          <w:bCs/>
          <w:szCs w:val="22"/>
          <w:cs/>
        </w:rPr>
        <w:t xml:space="preserve"> </w:t>
      </w:r>
      <w:r w:rsidR="00D04910" w:rsidRPr="00D04910">
        <w:rPr>
          <w:rFonts w:ascii="Arial" w:hAnsi="Arial" w:cs="Arial"/>
          <w:b/>
          <w:bCs/>
          <w:szCs w:val="22"/>
        </w:rPr>
        <w:t>UNIDO Representative</w:t>
      </w:r>
    </w:p>
    <w:p w14:paraId="47A21C0C" w14:textId="6410F63E" w:rsidR="00926F8C" w:rsidRPr="00D04910" w:rsidRDefault="003F2FAC" w:rsidP="00C45B3C">
      <w:pPr>
        <w:autoSpaceDE w:val="0"/>
        <w:autoSpaceDN w:val="0"/>
        <w:adjustRightInd w:val="0"/>
        <w:spacing w:line="360" w:lineRule="auto"/>
        <w:ind w:left="2223" w:hanging="2223"/>
        <w:rPr>
          <w:rFonts w:ascii="Arial" w:hAnsi="Arial" w:cs="Arial"/>
          <w:b/>
          <w:bCs/>
          <w:szCs w:val="22"/>
        </w:rPr>
      </w:pPr>
      <w:r w:rsidRPr="00D04910">
        <w:rPr>
          <w:rFonts w:ascii="Arial" w:hAnsi="Arial" w:cs="Arial"/>
          <w:b/>
          <w:bCs/>
        </w:rPr>
        <w:t xml:space="preserve">Title of </w:t>
      </w:r>
      <w:r w:rsidR="00926F8C" w:rsidRPr="00D04910">
        <w:rPr>
          <w:rFonts w:ascii="Arial" w:hAnsi="Arial" w:cs="Arial"/>
          <w:b/>
          <w:bCs/>
        </w:rPr>
        <w:t>Presentation</w:t>
      </w:r>
      <w:r w:rsidR="00926F8C" w:rsidRPr="00D04910">
        <w:rPr>
          <w:rFonts w:ascii="Arial" w:hAnsi="Arial" w:cs="Arial"/>
          <w:b/>
          <w:bCs/>
        </w:rPr>
        <w:tab/>
      </w:r>
      <w:r w:rsidR="00926F8C" w:rsidRPr="00D04910">
        <w:rPr>
          <w:rFonts w:ascii="Arial" w:hAnsi="Arial" w:cs="Arial"/>
          <w:b/>
          <w:bCs/>
          <w:szCs w:val="22"/>
          <w:cs/>
        </w:rPr>
        <w:t xml:space="preserve"> </w:t>
      </w:r>
      <w:r w:rsidR="00CD125A" w:rsidRPr="00D04910">
        <w:rPr>
          <w:rFonts w:ascii="Arial" w:hAnsi="Arial" w:cs="Arial"/>
          <w:b/>
          <w:bCs/>
          <w:szCs w:val="22"/>
        </w:rPr>
        <w:t xml:space="preserve"> :</w:t>
      </w:r>
      <w:r w:rsidR="00926F8C" w:rsidRPr="00D04910">
        <w:rPr>
          <w:rFonts w:ascii="Arial" w:hAnsi="Arial" w:cs="Arial"/>
          <w:b/>
          <w:bCs/>
          <w:szCs w:val="22"/>
          <w:cs/>
        </w:rPr>
        <w:t xml:space="preserve">  </w:t>
      </w:r>
      <w:r w:rsidR="00C6392A" w:rsidRPr="00C6392A">
        <w:rPr>
          <w:rFonts w:ascii="Arial" w:hAnsi="Arial" w:cs="Arial"/>
          <w:b/>
          <w:bCs/>
          <w:szCs w:val="22"/>
        </w:rPr>
        <w:t>Decarbonization of the Cement and Concrete Sectors in Thailand</w:t>
      </w:r>
    </w:p>
    <w:p w14:paraId="311AC47D" w14:textId="54F53981" w:rsidR="00926F8C" w:rsidRPr="00B505F8" w:rsidRDefault="00926F8C" w:rsidP="00926F8C">
      <w:pPr>
        <w:autoSpaceDE w:val="0"/>
        <w:autoSpaceDN w:val="0"/>
        <w:adjustRightInd w:val="0"/>
        <w:spacing w:line="360" w:lineRule="auto"/>
        <w:rPr>
          <w:rFonts w:ascii="Arial" w:hAnsi="Arial" w:cs="Arial"/>
          <w:b/>
          <w:bCs/>
          <w:color w:val="000000" w:themeColor="text1"/>
          <w:szCs w:val="22"/>
        </w:rPr>
      </w:pPr>
      <w:r w:rsidRPr="00B505F8">
        <w:rPr>
          <w:rFonts w:ascii="Arial" w:hAnsi="Arial" w:cs="Arial"/>
          <w:b/>
          <w:bCs/>
          <w:color w:val="000000" w:themeColor="text1"/>
        </w:rPr>
        <w:t>Presentation Abstract</w:t>
      </w:r>
      <w:r w:rsidRPr="00B505F8">
        <w:rPr>
          <w:rFonts w:ascii="Arial" w:hAnsi="Arial" w:cs="Arial"/>
          <w:b/>
          <w:bCs/>
          <w:color w:val="000000" w:themeColor="text1"/>
          <w:szCs w:val="22"/>
          <w:cs/>
        </w:rPr>
        <w:t xml:space="preserve"> </w:t>
      </w:r>
      <w:r w:rsidR="00CD125A" w:rsidRPr="00B505F8">
        <w:rPr>
          <w:rFonts w:ascii="Arial" w:hAnsi="Arial" w:cs="Arial"/>
          <w:b/>
          <w:bCs/>
          <w:color w:val="000000" w:themeColor="text1"/>
          <w:szCs w:val="22"/>
        </w:rPr>
        <w:t>:</w:t>
      </w:r>
    </w:p>
    <w:p w14:paraId="431141CD" w14:textId="43161C00" w:rsidR="00D04910" w:rsidRPr="00F56756" w:rsidRDefault="004C69DB" w:rsidP="00F33F1F">
      <w:pPr>
        <w:ind w:firstLine="720"/>
        <w:jc w:val="thaiDistribute"/>
        <w:rPr>
          <w:rFonts w:ascii="Arial" w:hAnsi="Arial" w:cs="Arial"/>
          <w:sz w:val="20"/>
          <w:szCs w:val="20"/>
        </w:rPr>
      </w:pPr>
      <w:r w:rsidRPr="004C69DB">
        <w:rPr>
          <w:rFonts w:ascii="Arial" w:eastAsia="MS Mincho" w:hAnsi="Arial" w:cs="Arial"/>
          <w:color w:val="000000" w:themeColor="text1"/>
          <w:szCs w:val="22"/>
          <w:lang w:eastAsia="ja-JP"/>
        </w:rPr>
        <w:t>The United Nations Industrial Development Organization (UNIDO with its headquarters located in Vienna, Austria) has the largest UN climate change mitigation project portfolio in Thailand on Thailand’s emission trade system, decarbonization of hard-to-abate industrial sectors including the cement and steel industries, energy efficiency policies, battery swapping for electric motorcycles, and European Union’s carbon border adjustment mechanism (CBAM), while promoting clean new energy such as prioritized applications of green hydrogen. The decarbonization of the concrete and cement sector needs to be addressed in a multi-faucet manner. Cement and concrete represent over 15% of global CO</w:t>
      </w:r>
      <w:r w:rsidRPr="00DD320B">
        <w:rPr>
          <w:rFonts w:ascii="Arial" w:eastAsia="MS Mincho" w:hAnsi="Arial" w:cs="Arial"/>
          <w:color w:val="000000" w:themeColor="text1"/>
          <w:szCs w:val="22"/>
          <w:vertAlign w:val="subscript"/>
          <w:lang w:eastAsia="ja-JP"/>
        </w:rPr>
        <w:t>2</w:t>
      </w:r>
      <w:r w:rsidRPr="004C69DB">
        <w:rPr>
          <w:rFonts w:ascii="Arial" w:eastAsia="MS Mincho" w:hAnsi="Arial" w:cs="Arial"/>
          <w:color w:val="000000" w:themeColor="text1"/>
          <w:szCs w:val="22"/>
          <w:lang w:eastAsia="ja-JP"/>
        </w:rPr>
        <w:t xml:space="preserve"> emissions. In the case of cement, over half of emissions arise from the calcination process meaning that renewable energy alone is insufficient to achieve zero-carbon cement. The processing of feedstock generates about 45% of CO</w:t>
      </w:r>
      <w:r w:rsidRPr="00DD320B">
        <w:rPr>
          <w:rFonts w:ascii="Arial" w:eastAsia="MS Mincho" w:hAnsi="Arial" w:cs="Arial"/>
          <w:color w:val="000000" w:themeColor="text1"/>
          <w:szCs w:val="22"/>
          <w:vertAlign w:val="subscript"/>
          <w:lang w:eastAsia="ja-JP"/>
        </w:rPr>
        <w:t>2</w:t>
      </w:r>
      <w:r w:rsidRPr="004C69DB">
        <w:rPr>
          <w:rFonts w:ascii="Arial" w:eastAsia="MS Mincho" w:hAnsi="Arial" w:cs="Arial"/>
          <w:color w:val="000000" w:themeColor="text1"/>
          <w:szCs w:val="22"/>
          <w:lang w:eastAsia="ja-JP"/>
        </w:rPr>
        <w:t xml:space="preserve"> emissions in these sectors. The emissions can be reduced by changing feedstocks or processes rather than changing to low-carbon energy sources. Research and development of low-carbon and alternative cement formulations could significantly reduce CO</w:t>
      </w:r>
      <w:r w:rsidRPr="00DD320B">
        <w:rPr>
          <w:rFonts w:ascii="Arial" w:eastAsia="MS Mincho" w:hAnsi="Arial" w:cs="Arial"/>
          <w:color w:val="000000" w:themeColor="text1"/>
          <w:szCs w:val="22"/>
          <w:vertAlign w:val="subscript"/>
          <w:lang w:eastAsia="ja-JP"/>
        </w:rPr>
        <w:t>2</w:t>
      </w:r>
      <w:r w:rsidRPr="004C69DB">
        <w:rPr>
          <w:rFonts w:ascii="Arial" w:eastAsia="MS Mincho" w:hAnsi="Arial" w:cs="Arial"/>
          <w:color w:val="000000" w:themeColor="text1"/>
          <w:szCs w:val="22"/>
          <w:lang w:eastAsia="ja-JP"/>
        </w:rPr>
        <w:t xml:space="preserve"> emissions. Green public procurement, particularly in government construction projects, would be an avenue for creating demand for low-carbon products. The use of supplementary cementitious materials (SCMs) and alternative raw materials can be explored. Waste to energy has the potential to reduce CO</w:t>
      </w:r>
      <w:r w:rsidRPr="00DD320B">
        <w:rPr>
          <w:rFonts w:ascii="Arial" w:eastAsia="MS Mincho" w:hAnsi="Arial" w:cs="Arial"/>
          <w:color w:val="000000" w:themeColor="text1"/>
          <w:szCs w:val="22"/>
          <w:vertAlign w:val="subscript"/>
          <w:lang w:eastAsia="ja-JP"/>
        </w:rPr>
        <w:t>2</w:t>
      </w:r>
      <w:r w:rsidRPr="004C69DB">
        <w:rPr>
          <w:rFonts w:ascii="Arial" w:eastAsia="MS Mincho" w:hAnsi="Arial" w:cs="Arial"/>
          <w:color w:val="000000" w:themeColor="text1"/>
          <w:szCs w:val="22"/>
          <w:lang w:eastAsia="ja-JP"/>
        </w:rPr>
        <w:t xml:space="preserve"> emission by replacing fossil fuel generated high-temperature heat demand for production. Carbon capture, utilization and storage (CCUS) is also to be studied.</w:t>
      </w:r>
    </w:p>
    <w:sectPr w:rsidR="00D04910" w:rsidRPr="00F56756" w:rsidSect="00C13370">
      <w:head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0633" w14:textId="77777777" w:rsidR="00B22FEE" w:rsidRDefault="00B22FEE" w:rsidP="00403FCE">
      <w:pPr>
        <w:spacing w:after="0" w:line="240" w:lineRule="auto"/>
      </w:pPr>
      <w:r>
        <w:separator/>
      </w:r>
    </w:p>
  </w:endnote>
  <w:endnote w:type="continuationSeparator" w:id="0">
    <w:p w14:paraId="5D9FE9B2" w14:textId="77777777" w:rsidR="00B22FEE" w:rsidRDefault="00B22FEE" w:rsidP="00403FCE">
      <w:pPr>
        <w:spacing w:after="0" w:line="240" w:lineRule="auto"/>
      </w:pPr>
      <w:r>
        <w:continuationSeparator/>
      </w:r>
    </w:p>
  </w:endnote>
  <w:endnote w:type="continuationNotice" w:id="1">
    <w:p w14:paraId="43BB4E71" w14:textId="77777777" w:rsidR="00B22FEE" w:rsidRDefault="00B22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roma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C7A1B" w14:textId="77777777" w:rsidR="00B22FEE" w:rsidRDefault="00B22FEE" w:rsidP="00403FCE">
      <w:pPr>
        <w:spacing w:after="0" w:line="240" w:lineRule="auto"/>
      </w:pPr>
      <w:r>
        <w:separator/>
      </w:r>
    </w:p>
  </w:footnote>
  <w:footnote w:type="continuationSeparator" w:id="0">
    <w:p w14:paraId="5282AF3C" w14:textId="77777777" w:rsidR="00B22FEE" w:rsidRDefault="00B22FEE" w:rsidP="00403FCE">
      <w:pPr>
        <w:spacing w:after="0" w:line="240" w:lineRule="auto"/>
      </w:pPr>
      <w:r>
        <w:continuationSeparator/>
      </w:r>
    </w:p>
  </w:footnote>
  <w:footnote w:type="continuationNotice" w:id="1">
    <w:p w14:paraId="03C72CA9" w14:textId="77777777" w:rsidR="00B22FEE" w:rsidRDefault="00B22F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124" w:type="dxa"/>
      <w:tblInd w:w="-856" w:type="dxa"/>
      <w:tblLook w:val="04A0" w:firstRow="1" w:lastRow="0" w:firstColumn="1" w:lastColumn="0" w:noHBand="0" w:noVBand="1"/>
    </w:tblPr>
    <w:tblGrid>
      <w:gridCol w:w="2736"/>
      <w:gridCol w:w="5770"/>
      <w:gridCol w:w="2618"/>
    </w:tblGrid>
    <w:tr w:rsidR="00156415" w14:paraId="2874C1C1" w14:textId="77777777" w:rsidTr="004E04F8">
      <w:trPr>
        <w:trHeight w:val="1840"/>
      </w:trPr>
      <w:tc>
        <w:tcPr>
          <w:tcW w:w="2736" w:type="dxa"/>
          <w:vAlign w:val="center"/>
        </w:tcPr>
        <w:p w14:paraId="2871073D" w14:textId="69A11A4B" w:rsidR="00156415" w:rsidRPr="00403FCE" w:rsidRDefault="00F51443" w:rsidP="00E77271">
          <w:pPr>
            <w:pStyle w:val="Header"/>
            <w:jc w:val="center"/>
            <w:rPr>
              <w:sz w:val="12"/>
              <w:szCs w:val="12"/>
            </w:rPr>
          </w:pPr>
          <w:r w:rsidRPr="00693C14">
            <w:rPr>
              <w:noProof/>
              <w:sz w:val="12"/>
              <w:szCs w:val="12"/>
            </w:rPr>
            <w:drawing>
              <wp:inline distT="0" distB="0" distL="0" distR="0" wp14:anchorId="647A8FD4" wp14:editId="4CEC9706">
                <wp:extent cx="1397000" cy="98665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08272" cy="994611"/>
                        </a:xfrm>
                        <a:prstGeom prst="rect">
                          <a:avLst/>
                        </a:prstGeom>
                      </pic:spPr>
                    </pic:pic>
                  </a:graphicData>
                </a:graphic>
              </wp:inline>
            </w:drawing>
          </w:r>
        </w:p>
      </w:tc>
      <w:tc>
        <w:tcPr>
          <w:tcW w:w="5770" w:type="dxa"/>
          <w:vAlign w:val="center"/>
        </w:tcPr>
        <w:p w14:paraId="132F821C" w14:textId="18FB93F5" w:rsidR="00156415" w:rsidRPr="0087415E" w:rsidRDefault="00156415" w:rsidP="00E361D4">
          <w:pPr>
            <w:autoSpaceDE w:val="0"/>
            <w:autoSpaceDN w:val="0"/>
            <w:adjustRightInd w:val="0"/>
            <w:spacing w:line="300" w:lineRule="auto"/>
            <w:ind w:right="-1800"/>
            <w:rPr>
              <w:rFonts w:ascii="Arial" w:hAnsi="Arial" w:cs="Arial"/>
              <w:b/>
              <w:bCs/>
              <w:color w:val="000000" w:themeColor="text1"/>
              <w:sz w:val="24"/>
              <w:szCs w:val="24"/>
            </w:rPr>
          </w:pPr>
          <w:r>
            <w:rPr>
              <w:rFonts w:ascii="Arial" w:hAnsi="Arial" w:cs="Angsana New"/>
              <w:b/>
              <w:bCs/>
              <w:color w:val="000000" w:themeColor="text1"/>
              <w:sz w:val="24"/>
              <w:szCs w:val="24"/>
              <w:cs/>
            </w:rPr>
            <w:t xml:space="preserve">                </w:t>
          </w:r>
          <w:r w:rsidR="000E2083">
            <w:rPr>
              <w:rFonts w:ascii="Arial" w:hAnsi="Arial" w:cs="Angsana New"/>
              <w:b/>
              <w:bCs/>
              <w:color w:val="000000" w:themeColor="text1"/>
              <w:sz w:val="24"/>
              <w:szCs w:val="24"/>
              <w:cs/>
            </w:rPr>
            <w:t xml:space="preserve">      </w:t>
          </w:r>
          <w:r w:rsidR="00356944">
            <w:rPr>
              <w:rFonts w:ascii="Arial" w:hAnsi="Arial" w:cs="Angsana New"/>
              <w:b/>
              <w:bCs/>
              <w:color w:val="000000" w:themeColor="text1"/>
              <w:sz w:val="24"/>
              <w:szCs w:val="24"/>
            </w:rPr>
            <w:t xml:space="preserve">   </w:t>
          </w:r>
          <w:proofErr w:type="spellStart"/>
          <w:r w:rsidRPr="00E361D4">
            <w:rPr>
              <w:rFonts w:ascii="Arial" w:hAnsi="Arial" w:cs="Arial"/>
              <w:b/>
              <w:bCs/>
              <w:color w:val="000000" w:themeColor="text1"/>
              <w:sz w:val="24"/>
              <w:szCs w:val="24"/>
            </w:rPr>
            <w:t>TNChE</w:t>
          </w:r>
          <w:proofErr w:type="spellEnd"/>
          <w:r w:rsidRPr="00E361D4">
            <w:rPr>
              <w:rFonts w:ascii="Arial" w:hAnsi="Arial" w:cs="Arial"/>
              <w:b/>
              <w:bCs/>
              <w:color w:val="000000" w:themeColor="text1"/>
              <w:sz w:val="24"/>
              <w:szCs w:val="24"/>
            </w:rPr>
            <w:t xml:space="preserve"> Asia 202</w:t>
          </w:r>
          <w:r w:rsidR="00B849B9">
            <w:rPr>
              <w:rFonts w:ascii="Arial" w:hAnsi="Arial" w:cs="Arial"/>
              <w:b/>
              <w:bCs/>
              <w:color w:val="000000" w:themeColor="text1"/>
              <w:sz w:val="24"/>
              <w:szCs w:val="24"/>
            </w:rPr>
            <w:t>5</w:t>
          </w:r>
          <w:r w:rsidRPr="00E361D4">
            <w:rPr>
              <w:rFonts w:ascii="Arial" w:hAnsi="Arial" w:cs="Arial"/>
              <w:b/>
              <w:bCs/>
              <w:color w:val="000000" w:themeColor="text1"/>
              <w:sz w:val="24"/>
              <w:szCs w:val="24"/>
            </w:rPr>
            <w:t xml:space="preserve"> Conference</w:t>
          </w:r>
        </w:p>
        <w:p w14:paraId="209F2292" w14:textId="15F2CAFA" w:rsidR="00156415" w:rsidRDefault="00B849B9" w:rsidP="00550590">
          <w:pPr>
            <w:autoSpaceDE w:val="0"/>
            <w:autoSpaceDN w:val="0"/>
            <w:adjustRightInd w:val="0"/>
            <w:spacing w:line="300" w:lineRule="auto"/>
            <w:jc w:val="center"/>
            <w:rPr>
              <w:rFonts w:ascii="Arial" w:hAnsi="Arial" w:cs="Arial"/>
              <w:b/>
              <w:bCs/>
              <w:color w:val="000000" w:themeColor="text1"/>
              <w:sz w:val="24"/>
              <w:szCs w:val="24"/>
            </w:rPr>
          </w:pPr>
          <w:r>
            <w:rPr>
              <w:rFonts w:ascii="Arial" w:hAnsi="Arial" w:cs="Arial"/>
              <w:b/>
              <w:bCs/>
              <w:color w:val="000000" w:themeColor="text1"/>
              <w:sz w:val="24"/>
              <w:szCs w:val="24"/>
            </w:rPr>
            <w:t>“</w:t>
          </w:r>
          <w:r w:rsidRPr="00B849B9">
            <w:rPr>
              <w:rFonts w:ascii="Arial" w:hAnsi="Arial" w:cs="Arial"/>
              <w:b/>
              <w:bCs/>
              <w:color w:val="000000" w:themeColor="text1"/>
              <w:sz w:val="24"/>
              <w:szCs w:val="24"/>
            </w:rPr>
            <w:t>Embracing Uncertainty: Unleashing Value in the Evolving Industry Landscape</w:t>
          </w:r>
          <w:r>
            <w:rPr>
              <w:rFonts w:ascii="Arial" w:hAnsi="Arial" w:cs="Arial"/>
              <w:b/>
              <w:bCs/>
              <w:color w:val="000000" w:themeColor="text1"/>
              <w:sz w:val="24"/>
              <w:szCs w:val="24"/>
            </w:rPr>
            <w:t>”</w:t>
          </w:r>
        </w:p>
        <w:p w14:paraId="13FE0FF0" w14:textId="0B10440B" w:rsidR="00156415" w:rsidRPr="00E361D4" w:rsidRDefault="008517CF" w:rsidP="00550590">
          <w:pPr>
            <w:autoSpaceDE w:val="0"/>
            <w:autoSpaceDN w:val="0"/>
            <w:adjustRightInd w:val="0"/>
            <w:spacing w:line="300" w:lineRule="auto"/>
            <w:jc w:val="center"/>
            <w:rPr>
              <w:rFonts w:ascii="Arial" w:hAnsi="Arial" w:cs="Arial"/>
              <w:b/>
              <w:bCs/>
              <w:color w:val="000000" w:themeColor="text1"/>
              <w:sz w:val="24"/>
              <w:szCs w:val="24"/>
            </w:rPr>
          </w:pPr>
          <w:r>
            <w:rPr>
              <w:rFonts w:ascii="Arial" w:hAnsi="Arial" w:cs="Angsana New"/>
              <w:b/>
              <w:bCs/>
              <w:color w:val="000000" w:themeColor="text1"/>
              <w:sz w:val="24"/>
              <w:szCs w:val="24"/>
              <w:cs/>
            </w:rPr>
            <w:t xml:space="preserve"> </w:t>
          </w:r>
          <w:r w:rsidR="00156415" w:rsidRPr="00926F8C">
            <w:rPr>
              <w:rFonts w:ascii="Arial" w:hAnsi="Arial" w:cs="Arial"/>
              <w:b/>
              <w:bCs/>
              <w:color w:val="000000" w:themeColor="text1"/>
              <w:sz w:val="24"/>
              <w:szCs w:val="24"/>
            </w:rPr>
            <w:t>Presenter</w:t>
          </w:r>
          <w:r w:rsidR="00D50338">
            <w:rPr>
              <w:rFonts w:ascii="Arial" w:hAnsi="Arial" w:cs="Arial"/>
              <w:b/>
              <w:bCs/>
              <w:color w:val="000000" w:themeColor="text1"/>
              <w:sz w:val="24"/>
              <w:szCs w:val="24"/>
            </w:rPr>
            <w:t>’</w:t>
          </w:r>
          <w:r w:rsidR="000E2083">
            <w:rPr>
              <w:rFonts w:ascii="Arial" w:hAnsi="Arial" w:cs="Arial"/>
              <w:b/>
              <w:bCs/>
              <w:color w:val="000000" w:themeColor="text1"/>
              <w:sz w:val="24"/>
              <w:szCs w:val="24"/>
            </w:rPr>
            <w:t xml:space="preserve">s </w:t>
          </w:r>
          <w:r w:rsidR="00156415" w:rsidRPr="00926F8C">
            <w:rPr>
              <w:rFonts w:ascii="Arial" w:hAnsi="Arial" w:cs="Arial"/>
              <w:b/>
              <w:bCs/>
              <w:color w:val="000000" w:themeColor="text1"/>
              <w:sz w:val="24"/>
              <w:szCs w:val="24"/>
            </w:rPr>
            <w:t>Bio</w:t>
          </w:r>
          <w:r w:rsidR="000E2083">
            <w:rPr>
              <w:rFonts w:ascii="Arial" w:hAnsi="Arial" w:cs="Arial"/>
              <w:b/>
              <w:bCs/>
              <w:color w:val="000000" w:themeColor="text1"/>
              <w:sz w:val="24"/>
              <w:szCs w:val="24"/>
            </w:rPr>
            <w:t>d</w:t>
          </w:r>
          <w:r w:rsidR="00156415" w:rsidRPr="00926F8C">
            <w:rPr>
              <w:rFonts w:ascii="Arial" w:hAnsi="Arial" w:cs="Arial"/>
              <w:b/>
              <w:bCs/>
              <w:color w:val="000000" w:themeColor="text1"/>
              <w:sz w:val="24"/>
              <w:szCs w:val="24"/>
            </w:rPr>
            <w:t>ata &amp; Abstract</w:t>
          </w:r>
        </w:p>
      </w:tc>
      <w:tc>
        <w:tcPr>
          <w:tcW w:w="2618" w:type="dxa"/>
        </w:tcPr>
        <w:p w14:paraId="14B615F3" w14:textId="77777777" w:rsidR="00156415" w:rsidRDefault="00156415" w:rsidP="00E361D4">
          <w:pPr>
            <w:pStyle w:val="Header"/>
          </w:pPr>
          <w:r>
            <w:rPr>
              <w:noProof/>
            </w:rPr>
            <w:drawing>
              <wp:anchor distT="0" distB="0" distL="114300" distR="114300" simplePos="0" relativeHeight="251658240" behindDoc="0" locked="0" layoutInCell="1" allowOverlap="1" wp14:anchorId="7A255805" wp14:editId="14432554">
                <wp:simplePos x="0" y="0"/>
                <wp:positionH relativeFrom="column">
                  <wp:posOffset>354965</wp:posOffset>
                </wp:positionH>
                <wp:positionV relativeFrom="paragraph">
                  <wp:posOffset>31115</wp:posOffset>
                </wp:positionV>
                <wp:extent cx="941705" cy="112014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41705" cy="1120140"/>
                        </a:xfrm>
                        <a:prstGeom prst="rect">
                          <a:avLst/>
                        </a:prstGeom>
                      </pic:spPr>
                    </pic:pic>
                  </a:graphicData>
                </a:graphic>
                <wp14:sizeRelH relativeFrom="margin">
                  <wp14:pctWidth>0</wp14:pctWidth>
                </wp14:sizeRelH>
                <wp14:sizeRelV relativeFrom="margin">
                  <wp14:pctHeight>0</wp14:pctHeight>
                </wp14:sizeRelV>
              </wp:anchor>
            </w:drawing>
          </w:r>
        </w:p>
      </w:tc>
    </w:tr>
  </w:tbl>
  <w:p w14:paraId="2239BE9D" w14:textId="77777777" w:rsidR="00156415" w:rsidRDefault="00156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AFE"/>
    <w:multiLevelType w:val="hybridMultilevel"/>
    <w:tmpl w:val="805491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71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FCE"/>
    <w:rsid w:val="0003090F"/>
    <w:rsid w:val="00037FD8"/>
    <w:rsid w:val="000417B4"/>
    <w:rsid w:val="0005686E"/>
    <w:rsid w:val="0006000D"/>
    <w:rsid w:val="00065CA6"/>
    <w:rsid w:val="000736CF"/>
    <w:rsid w:val="00074405"/>
    <w:rsid w:val="000B3E5A"/>
    <w:rsid w:val="000C636B"/>
    <w:rsid w:val="000E2083"/>
    <w:rsid w:val="000E3288"/>
    <w:rsid w:val="00103059"/>
    <w:rsid w:val="00106FEC"/>
    <w:rsid w:val="00147A59"/>
    <w:rsid w:val="00156415"/>
    <w:rsid w:val="00167FB0"/>
    <w:rsid w:val="00174AED"/>
    <w:rsid w:val="00174FA2"/>
    <w:rsid w:val="00191A18"/>
    <w:rsid w:val="001C3151"/>
    <w:rsid w:val="001C4D31"/>
    <w:rsid w:val="00222BA6"/>
    <w:rsid w:val="00250EC9"/>
    <w:rsid w:val="002565B2"/>
    <w:rsid w:val="00267768"/>
    <w:rsid w:val="0027751E"/>
    <w:rsid w:val="00281472"/>
    <w:rsid w:val="0028576F"/>
    <w:rsid w:val="002D5071"/>
    <w:rsid w:val="002F37DC"/>
    <w:rsid w:val="0030330E"/>
    <w:rsid w:val="003136D0"/>
    <w:rsid w:val="0034191D"/>
    <w:rsid w:val="00356944"/>
    <w:rsid w:val="00365358"/>
    <w:rsid w:val="00365BAA"/>
    <w:rsid w:val="0037252F"/>
    <w:rsid w:val="003736D7"/>
    <w:rsid w:val="00374702"/>
    <w:rsid w:val="003751D8"/>
    <w:rsid w:val="003771D4"/>
    <w:rsid w:val="003772A9"/>
    <w:rsid w:val="00381FED"/>
    <w:rsid w:val="00383FFD"/>
    <w:rsid w:val="00393C87"/>
    <w:rsid w:val="003A2DC0"/>
    <w:rsid w:val="003A3AD9"/>
    <w:rsid w:val="003C5A9F"/>
    <w:rsid w:val="003D5F7D"/>
    <w:rsid w:val="003E634A"/>
    <w:rsid w:val="003F2FAC"/>
    <w:rsid w:val="003F5B72"/>
    <w:rsid w:val="004022E0"/>
    <w:rsid w:val="00402E36"/>
    <w:rsid w:val="00403FCE"/>
    <w:rsid w:val="00442D72"/>
    <w:rsid w:val="004452BC"/>
    <w:rsid w:val="004547A8"/>
    <w:rsid w:val="004A5F9E"/>
    <w:rsid w:val="004B04CD"/>
    <w:rsid w:val="004C69DB"/>
    <w:rsid w:val="004D2B08"/>
    <w:rsid w:val="004E04F8"/>
    <w:rsid w:val="004E2CA4"/>
    <w:rsid w:val="004F2F39"/>
    <w:rsid w:val="004F3BDE"/>
    <w:rsid w:val="00507DF6"/>
    <w:rsid w:val="00544311"/>
    <w:rsid w:val="00546E6C"/>
    <w:rsid w:val="00550590"/>
    <w:rsid w:val="00566160"/>
    <w:rsid w:val="005A335F"/>
    <w:rsid w:val="005C3F2A"/>
    <w:rsid w:val="005C61C1"/>
    <w:rsid w:val="005D3535"/>
    <w:rsid w:val="005D58AD"/>
    <w:rsid w:val="005F2C2A"/>
    <w:rsid w:val="00615EB0"/>
    <w:rsid w:val="00674A46"/>
    <w:rsid w:val="0068194A"/>
    <w:rsid w:val="00684A58"/>
    <w:rsid w:val="006872AA"/>
    <w:rsid w:val="006C3352"/>
    <w:rsid w:val="006D6B42"/>
    <w:rsid w:val="006F25F0"/>
    <w:rsid w:val="006F5CD3"/>
    <w:rsid w:val="007004C0"/>
    <w:rsid w:val="00702292"/>
    <w:rsid w:val="00707E5D"/>
    <w:rsid w:val="0071479B"/>
    <w:rsid w:val="0073799D"/>
    <w:rsid w:val="007407C0"/>
    <w:rsid w:val="00740D06"/>
    <w:rsid w:val="007557F1"/>
    <w:rsid w:val="00772991"/>
    <w:rsid w:val="00783CBC"/>
    <w:rsid w:val="007A022B"/>
    <w:rsid w:val="007A77D8"/>
    <w:rsid w:val="007B6875"/>
    <w:rsid w:val="007C74A1"/>
    <w:rsid w:val="007D1713"/>
    <w:rsid w:val="007D6D25"/>
    <w:rsid w:val="007F38D4"/>
    <w:rsid w:val="00820678"/>
    <w:rsid w:val="008242FE"/>
    <w:rsid w:val="008517CF"/>
    <w:rsid w:val="0087415E"/>
    <w:rsid w:val="00877F0E"/>
    <w:rsid w:val="00887312"/>
    <w:rsid w:val="008943FD"/>
    <w:rsid w:val="00894D55"/>
    <w:rsid w:val="008B04BA"/>
    <w:rsid w:val="008B7EB7"/>
    <w:rsid w:val="008D2A05"/>
    <w:rsid w:val="008E2E8B"/>
    <w:rsid w:val="008E6CE4"/>
    <w:rsid w:val="008F7B5C"/>
    <w:rsid w:val="00900A63"/>
    <w:rsid w:val="00907CAB"/>
    <w:rsid w:val="00913DE8"/>
    <w:rsid w:val="00926F8C"/>
    <w:rsid w:val="00946C63"/>
    <w:rsid w:val="009519FC"/>
    <w:rsid w:val="00952096"/>
    <w:rsid w:val="00977DF9"/>
    <w:rsid w:val="00983DB2"/>
    <w:rsid w:val="009859AD"/>
    <w:rsid w:val="00987132"/>
    <w:rsid w:val="009B182F"/>
    <w:rsid w:val="009C008D"/>
    <w:rsid w:val="009F4B04"/>
    <w:rsid w:val="00A24EBC"/>
    <w:rsid w:val="00A313AD"/>
    <w:rsid w:val="00A35798"/>
    <w:rsid w:val="00A41953"/>
    <w:rsid w:val="00A51B50"/>
    <w:rsid w:val="00A62A39"/>
    <w:rsid w:val="00A84158"/>
    <w:rsid w:val="00A92720"/>
    <w:rsid w:val="00AA54EF"/>
    <w:rsid w:val="00AA78FD"/>
    <w:rsid w:val="00AB7469"/>
    <w:rsid w:val="00AD736A"/>
    <w:rsid w:val="00AE1CE8"/>
    <w:rsid w:val="00AE2168"/>
    <w:rsid w:val="00AF34A1"/>
    <w:rsid w:val="00AF4F0D"/>
    <w:rsid w:val="00B06777"/>
    <w:rsid w:val="00B22FEE"/>
    <w:rsid w:val="00B23E35"/>
    <w:rsid w:val="00B256E4"/>
    <w:rsid w:val="00B278D0"/>
    <w:rsid w:val="00B37E30"/>
    <w:rsid w:val="00B505F8"/>
    <w:rsid w:val="00B525AE"/>
    <w:rsid w:val="00B634AC"/>
    <w:rsid w:val="00B72484"/>
    <w:rsid w:val="00B83E95"/>
    <w:rsid w:val="00B849B9"/>
    <w:rsid w:val="00B86A72"/>
    <w:rsid w:val="00BA2FD6"/>
    <w:rsid w:val="00BD27D3"/>
    <w:rsid w:val="00BE7B9E"/>
    <w:rsid w:val="00BF4E8A"/>
    <w:rsid w:val="00C07967"/>
    <w:rsid w:val="00C07A88"/>
    <w:rsid w:val="00C13370"/>
    <w:rsid w:val="00C324CC"/>
    <w:rsid w:val="00C35C9B"/>
    <w:rsid w:val="00C45B3C"/>
    <w:rsid w:val="00C5508F"/>
    <w:rsid w:val="00C6392A"/>
    <w:rsid w:val="00C71E75"/>
    <w:rsid w:val="00C74BB6"/>
    <w:rsid w:val="00C75B46"/>
    <w:rsid w:val="00C76F5F"/>
    <w:rsid w:val="00C77B24"/>
    <w:rsid w:val="00C90E0E"/>
    <w:rsid w:val="00C9773E"/>
    <w:rsid w:val="00CD125A"/>
    <w:rsid w:val="00CE5B04"/>
    <w:rsid w:val="00CE5E23"/>
    <w:rsid w:val="00D04910"/>
    <w:rsid w:val="00D16191"/>
    <w:rsid w:val="00D411EE"/>
    <w:rsid w:val="00D431FE"/>
    <w:rsid w:val="00D50338"/>
    <w:rsid w:val="00D57B1D"/>
    <w:rsid w:val="00D6220E"/>
    <w:rsid w:val="00D66355"/>
    <w:rsid w:val="00D871DD"/>
    <w:rsid w:val="00DA0198"/>
    <w:rsid w:val="00DA6BB4"/>
    <w:rsid w:val="00DA6CBD"/>
    <w:rsid w:val="00DD320B"/>
    <w:rsid w:val="00DE5233"/>
    <w:rsid w:val="00DF519D"/>
    <w:rsid w:val="00DF6D2B"/>
    <w:rsid w:val="00E059FB"/>
    <w:rsid w:val="00E0631E"/>
    <w:rsid w:val="00E17102"/>
    <w:rsid w:val="00E361D4"/>
    <w:rsid w:val="00E40C26"/>
    <w:rsid w:val="00E447CB"/>
    <w:rsid w:val="00E56DD9"/>
    <w:rsid w:val="00E6259B"/>
    <w:rsid w:val="00E73D0E"/>
    <w:rsid w:val="00E74505"/>
    <w:rsid w:val="00E77271"/>
    <w:rsid w:val="00E8441A"/>
    <w:rsid w:val="00E849B7"/>
    <w:rsid w:val="00E936C3"/>
    <w:rsid w:val="00EA3528"/>
    <w:rsid w:val="00EF0D38"/>
    <w:rsid w:val="00EF1876"/>
    <w:rsid w:val="00EF5439"/>
    <w:rsid w:val="00F03347"/>
    <w:rsid w:val="00F06790"/>
    <w:rsid w:val="00F1455D"/>
    <w:rsid w:val="00F23DB8"/>
    <w:rsid w:val="00F25F0B"/>
    <w:rsid w:val="00F31B9C"/>
    <w:rsid w:val="00F32236"/>
    <w:rsid w:val="00F33F1F"/>
    <w:rsid w:val="00F51443"/>
    <w:rsid w:val="00F56756"/>
    <w:rsid w:val="00F77AB4"/>
    <w:rsid w:val="00F86365"/>
    <w:rsid w:val="00F94CAF"/>
    <w:rsid w:val="00F96EC3"/>
    <w:rsid w:val="00FB24AF"/>
    <w:rsid w:val="00FB400B"/>
    <w:rsid w:val="00FB70B1"/>
    <w:rsid w:val="00FC1850"/>
    <w:rsid w:val="00FC2935"/>
    <w:rsid w:val="00FD555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8C897"/>
  <w15:docId w15:val="{5F5DA95C-5DEB-48FF-8EF4-1EAA1C00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FCE"/>
  </w:style>
  <w:style w:type="paragraph" w:styleId="Footer">
    <w:name w:val="footer"/>
    <w:basedOn w:val="Normal"/>
    <w:link w:val="FooterChar"/>
    <w:uiPriority w:val="99"/>
    <w:unhideWhenUsed/>
    <w:rsid w:val="00403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FCE"/>
  </w:style>
  <w:style w:type="table" w:styleId="TableGrid">
    <w:name w:val="Table Grid"/>
    <w:basedOn w:val="TableNormal"/>
    <w:uiPriority w:val="59"/>
    <w:rsid w:val="00403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FCE"/>
    <w:rPr>
      <w:rFonts w:ascii="Tahoma" w:hAnsi="Tahoma" w:cs="Tahoma"/>
      <w:sz w:val="16"/>
      <w:szCs w:val="16"/>
    </w:rPr>
  </w:style>
  <w:style w:type="paragraph" w:styleId="NormalWeb">
    <w:name w:val="Normal (Web)"/>
    <w:basedOn w:val="Normal"/>
    <w:uiPriority w:val="99"/>
    <w:semiHidden/>
    <w:unhideWhenUsed/>
    <w:rsid w:val="00B52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84A58"/>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rsid w:val="00FD5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28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eaa998-d13c-4faa-b3a4-9daf2223619e">
      <Terms xmlns="http://schemas.microsoft.com/office/infopath/2007/PartnerControls"/>
    </lcf76f155ced4ddcb4097134ff3c332f>
    <TaxCatchAll xmlns="c551f46c-b356-4cad-ad41-666cb40218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D44FE031525A418765D4EA3C4CAAC9" ma:contentTypeVersion="14" ma:contentTypeDescription="Create a new document." ma:contentTypeScope="" ma:versionID="d443121e40ad977acef33364c322da92">
  <xsd:schema xmlns:xsd="http://www.w3.org/2001/XMLSchema" xmlns:xs="http://www.w3.org/2001/XMLSchema" xmlns:p="http://schemas.microsoft.com/office/2006/metadata/properties" xmlns:ns2="38eaa998-d13c-4faa-b3a4-9daf2223619e" xmlns:ns3="c551f46c-b356-4cad-ad41-666cb40218b3" targetNamespace="http://schemas.microsoft.com/office/2006/metadata/properties" ma:root="true" ma:fieldsID="66849e27f6692f9d559a7482c73e6145" ns2:_="" ns3:_="">
    <xsd:import namespace="38eaa998-d13c-4faa-b3a4-9daf2223619e"/>
    <xsd:import namespace="c551f46c-b356-4cad-ad41-666cb4021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aa998-d13c-4faa-b3a4-9daf22236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2e7f9b2-38e6-4fd2-87ed-2a611b17489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51f46c-b356-4cad-ad41-666cb40218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81b109e-6b1c-4575-a2cd-dc6974c180ee}" ma:internalName="TaxCatchAll" ma:showField="CatchAllData" ma:web="c551f46c-b356-4cad-ad41-666cb4021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2CEFC-BA26-4E05-8DD1-8721D0155031}">
  <ds:schemaRefs>
    <ds:schemaRef ds:uri="http://schemas.openxmlformats.org/officeDocument/2006/bibliography"/>
  </ds:schemaRefs>
</ds:datastoreItem>
</file>

<file path=customXml/itemProps2.xml><?xml version="1.0" encoding="utf-8"?>
<ds:datastoreItem xmlns:ds="http://schemas.openxmlformats.org/officeDocument/2006/customXml" ds:itemID="{50A8D003-7F17-4310-9DC5-D65296A94FBC}">
  <ds:schemaRefs>
    <ds:schemaRef ds:uri="http://schemas.microsoft.com/sharepoint/v3/contenttype/forms"/>
  </ds:schemaRefs>
</ds:datastoreItem>
</file>

<file path=customXml/itemProps3.xml><?xml version="1.0" encoding="utf-8"?>
<ds:datastoreItem xmlns:ds="http://schemas.openxmlformats.org/officeDocument/2006/customXml" ds:itemID="{F46BAFC3-97DE-4A15-9301-3C62E96A4BEE}">
  <ds:schemaRefs>
    <ds:schemaRef ds:uri="http://schemas.microsoft.com/office/2006/metadata/properties"/>
    <ds:schemaRef ds:uri="http://schemas.microsoft.com/office/infopath/2007/PartnerControls"/>
    <ds:schemaRef ds:uri="81ade7b3-8c11-42e7-913b-ffcfde6e682e"/>
    <ds:schemaRef ds:uri="53b18a6f-9e18-464f-a57a-6822e5bbeae7"/>
  </ds:schemaRefs>
</ds:datastoreItem>
</file>

<file path=customXml/itemProps4.xml><?xml version="1.0" encoding="utf-8"?>
<ds:datastoreItem xmlns:ds="http://schemas.openxmlformats.org/officeDocument/2006/customXml" ds:itemID="{76BFED8F-C3AE-49D2-BCC7-BB3DDC35EAF7}"/>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PETROLIAM NASIONAL BERHAD</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Ilyani Bt A Samah (ETCTRL/EPEMSB)</dc:creator>
  <cp:lastModifiedBy>paisan kongkachuichay</cp:lastModifiedBy>
  <cp:revision>2</cp:revision>
  <cp:lastPrinted>2025-04-09T14:14:00Z</cp:lastPrinted>
  <dcterms:created xsi:type="dcterms:W3CDTF">2025-04-29T07:14:00Z</dcterms:created>
  <dcterms:modified xsi:type="dcterms:W3CDTF">2025-04-29T07:14:00Z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00456fe47f7cefa40296aeffe069e9bd048fcf0684d5a3d745f0767a04604ea9</vt:lpwstr>
  </property>
  <property fmtid="{D5CDD505-2E9C-101B-9397-08002B2CF9AE}" pid="4" name="ContentTypeId">
    <vt:lpwstr>0x010100FFD44FE031525A418765D4EA3C4CAAC9</vt:lpwstr>
  </property>
  <property fmtid="{D5CDD505-2E9C-101B-9397-08002B2CF9AE}" pid="5" name="MediaServiceImageTags">
    <vt:lpwstr/>
  </property>
</Properties>
</file>